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DB" w:rsidRPr="003565DB" w:rsidRDefault="003565DB" w:rsidP="003565DB">
      <w:pPr>
        <w:widowControl/>
        <w:jc w:val="center"/>
        <w:rPr>
          <w:rFonts w:ascii="微软雅黑" w:eastAsia="微软雅黑" w:hAnsi="微软雅黑" w:cs="Helvetica"/>
          <w:color w:val="393939"/>
          <w:kern w:val="0"/>
          <w:sz w:val="39"/>
          <w:szCs w:val="39"/>
        </w:rPr>
      </w:pPr>
      <w:r w:rsidRPr="003565DB">
        <w:rPr>
          <w:rFonts w:ascii="微软雅黑" w:eastAsia="微软雅黑" w:hAnsi="微软雅黑" w:cs="Helvetica" w:hint="eastAsia"/>
          <w:color w:val="393939"/>
          <w:kern w:val="0"/>
          <w:sz w:val="39"/>
          <w:szCs w:val="39"/>
        </w:rPr>
        <w:t>内蒙古、淮安政法单位前来考察学习速裁程序“一步到庭”工作</w:t>
      </w:r>
    </w:p>
    <w:p w:rsidR="003565DB" w:rsidRPr="003565DB" w:rsidRDefault="003565DB" w:rsidP="003565DB">
      <w:pPr>
        <w:widowControl/>
        <w:jc w:val="center"/>
        <w:rPr>
          <w:rFonts w:ascii="微软雅黑" w:eastAsia="微软雅黑" w:hAnsi="微软雅黑" w:cs="Helvetica" w:hint="eastAsia"/>
          <w:color w:val="393939"/>
          <w:kern w:val="0"/>
          <w:sz w:val="20"/>
          <w:szCs w:val="20"/>
        </w:rPr>
      </w:pPr>
    </w:p>
    <w:p w:rsidR="003565DB" w:rsidRPr="003565DB" w:rsidRDefault="003565DB" w:rsidP="003565DB">
      <w:pPr>
        <w:widowControl/>
        <w:spacing w:line="560" w:lineRule="exact"/>
        <w:ind w:firstLineChars="200" w:firstLine="640"/>
        <w:jc w:val="left"/>
        <w:rPr>
          <w:rFonts w:ascii="微软雅黑" w:eastAsia="微软雅黑" w:hAnsi="微软雅黑" w:cs="Segoe UI" w:hint="eastAsia"/>
          <w:color w:val="393939"/>
          <w:kern w:val="0"/>
          <w:sz w:val="24"/>
          <w:szCs w:val="24"/>
        </w:rPr>
      </w:pPr>
      <w:r w:rsidRPr="003565DB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近日，内蒙古达拉特旗检法两院、江苏淮安经济开发区检察院分别来院考察学习</w:t>
      </w:r>
      <w:r w:rsidRPr="003565DB">
        <w:rPr>
          <w:rFonts w:ascii="仿宋_GB2312" w:eastAsia="仿宋_GB2312" w:hAnsi="微软雅黑" w:cs="Segoe UI" w:hint="eastAsia"/>
          <w:color w:val="000000"/>
          <w:kern w:val="0"/>
          <w:sz w:val="32"/>
          <w:szCs w:val="32"/>
        </w:rPr>
        <w:t>认罪认罚从宽制度及“一步到庭”工作。</w:t>
      </w:r>
      <w:r w:rsidRPr="003565DB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内蒙古</w:t>
      </w:r>
      <w:r w:rsidRPr="003565DB">
        <w:rPr>
          <w:rFonts w:ascii="仿宋_GB2312" w:eastAsia="仿宋_GB2312" w:hAnsi="微软雅黑" w:cs="Segoe UI" w:hint="eastAsia"/>
          <w:color w:val="000000"/>
          <w:kern w:val="0"/>
          <w:sz w:val="32"/>
          <w:szCs w:val="32"/>
        </w:rPr>
        <w:t>达拉特旗检察院检察长任婵、达拉特旗法院院长杨淳雁、淮安经开区检察院副检察长邢娟、建邺区法院院长芮铭珍、我院检察长于刚、</w:t>
      </w:r>
      <w:r w:rsidRPr="003565DB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副检察长李勇</w:t>
      </w:r>
      <w:r w:rsidRPr="003565DB">
        <w:rPr>
          <w:rFonts w:ascii="仿宋_GB2312" w:eastAsia="仿宋_GB2312" w:hAnsi="微软雅黑" w:cs="Segoe UI" w:hint="eastAsia"/>
          <w:color w:val="000000"/>
          <w:kern w:val="0"/>
          <w:sz w:val="32"/>
          <w:szCs w:val="32"/>
        </w:rPr>
        <w:t>等参加交流座谈。</w:t>
      </w:r>
    </w:p>
    <w:p w:rsidR="003565DB" w:rsidRPr="003565DB" w:rsidRDefault="003565DB" w:rsidP="003565DB">
      <w:pPr>
        <w:widowControl/>
        <w:spacing w:line="560" w:lineRule="exact"/>
        <w:ind w:firstLineChars="200" w:firstLine="640"/>
        <w:jc w:val="left"/>
        <w:rPr>
          <w:rFonts w:ascii="微软雅黑" w:eastAsia="微软雅黑" w:hAnsi="微软雅黑" w:cs="Segoe UI" w:hint="eastAsia"/>
          <w:color w:val="393939"/>
          <w:kern w:val="0"/>
          <w:sz w:val="24"/>
          <w:szCs w:val="24"/>
        </w:rPr>
      </w:pPr>
      <w:r w:rsidRPr="003565DB">
        <w:rPr>
          <w:rFonts w:ascii="仿宋_GB2312" w:eastAsia="仿宋_GB2312" w:hAnsi="微软雅黑" w:cs="Segoe UI" w:hint="eastAsia"/>
          <w:color w:val="000000"/>
          <w:kern w:val="0"/>
          <w:sz w:val="32"/>
          <w:szCs w:val="32"/>
        </w:rPr>
        <w:t>在认罪认罚从宽制度改革授权试点期间，我院首创的速裁程序“一步到庭”的建邺办案模式，真正实现刑事诉讼的全流程简化，得到高检院领导及专家学者的高度肯定，受到司法一线办案人员的广泛欢迎。</w:t>
      </w:r>
    </w:p>
    <w:p w:rsidR="003565DB" w:rsidRPr="003565DB" w:rsidRDefault="003565DB" w:rsidP="003565DB">
      <w:pPr>
        <w:widowControl/>
        <w:spacing w:line="560" w:lineRule="exact"/>
        <w:ind w:firstLineChars="200" w:firstLine="640"/>
        <w:jc w:val="left"/>
        <w:rPr>
          <w:rFonts w:ascii="微软雅黑" w:eastAsia="微软雅黑" w:hAnsi="微软雅黑" w:cs="Segoe UI" w:hint="eastAsia"/>
          <w:color w:val="393939"/>
          <w:kern w:val="0"/>
          <w:sz w:val="24"/>
          <w:szCs w:val="24"/>
        </w:rPr>
      </w:pPr>
      <w:r w:rsidRPr="003565DB">
        <w:rPr>
          <w:rFonts w:ascii="仿宋_GB2312" w:eastAsia="仿宋_GB2312" w:hAnsi="微软雅黑" w:cs="Segoe UI" w:hint="eastAsia"/>
          <w:color w:val="000000"/>
          <w:kern w:val="0"/>
          <w:sz w:val="32"/>
          <w:szCs w:val="32"/>
        </w:rPr>
        <w:t>座谈会上，我院就该项制度的基本背景、主要做法、取得成效进行了具体介绍，区法院就认罪认罚从宽制度在审判阶段的实践进行了详细介绍。两地检法同仁均表示，将认真学习借鉴先进经验做法，促进该项工作的高质量推进。</w:t>
      </w:r>
    </w:p>
    <w:p w:rsidR="00023E0B" w:rsidRPr="003565DB" w:rsidRDefault="003565DB">
      <w:r>
        <w:rPr>
          <w:rFonts w:ascii="仿宋_GB2312" w:eastAsia="仿宋_GB2312" w:hAnsi="微软雅黑" w:cs="Arial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274310" cy="3955733"/>
            <wp:effectExtent l="19050" t="0" r="2540" b="0"/>
            <wp:docPr id="3" name="ext-gen31" descr="image_8a04889367f7a9490169a309b0ea5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31" descr="image_8a04889367f7a9490169a309b0ea57c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E0B" w:rsidRPr="00356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0B" w:rsidRDefault="00023E0B" w:rsidP="003565DB">
      <w:r>
        <w:separator/>
      </w:r>
    </w:p>
  </w:endnote>
  <w:endnote w:type="continuationSeparator" w:id="1">
    <w:p w:rsidR="00023E0B" w:rsidRDefault="00023E0B" w:rsidP="0035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0B" w:rsidRDefault="00023E0B" w:rsidP="003565DB">
      <w:r>
        <w:separator/>
      </w:r>
    </w:p>
  </w:footnote>
  <w:footnote w:type="continuationSeparator" w:id="1">
    <w:p w:rsidR="00023E0B" w:rsidRDefault="00023E0B" w:rsidP="00356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5DB"/>
    <w:rsid w:val="00023E0B"/>
    <w:rsid w:val="0035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5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5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65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65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71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978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2019-05-31T01:56:00Z</dcterms:created>
  <dcterms:modified xsi:type="dcterms:W3CDTF">2019-05-31T01:56:00Z</dcterms:modified>
</cp:coreProperties>
</file>